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leftChars="0" w:right="-11" w:rightChars="0"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w:t>
      </w:r>
      <w:r>
        <w:rPr>
          <w:rFonts w:hint="eastAsia" w:ascii="仿宋_GB2312" w:hAnsi="仿宋_GB2312" w:eastAsia="仿宋_GB2312" w:cs="仿宋_GB2312"/>
          <w:b/>
          <w:sz w:val="32"/>
          <w:szCs w:val="32"/>
          <w:lang w:val="en-US" w:eastAsia="zh-CN"/>
        </w:rPr>
        <w:t>年</w:t>
      </w:r>
      <w:r>
        <w:rPr>
          <w:rFonts w:hint="eastAsia" w:ascii="仿宋_GB2312" w:hAnsi="仿宋_GB2312" w:eastAsia="仿宋_GB2312" w:cs="仿宋_GB2312"/>
          <w:b/>
          <w:sz w:val="32"/>
          <w:szCs w:val="32"/>
        </w:rPr>
        <w:t>第</w:t>
      </w:r>
      <w:r>
        <w:rPr>
          <w:rFonts w:hint="eastAsia" w:ascii="仿宋_GB2312" w:hAnsi="仿宋_GB2312" w:eastAsia="仿宋_GB2312" w:cs="仿宋_GB2312"/>
          <w:b/>
          <w:sz w:val="32"/>
          <w:szCs w:val="32"/>
          <w:lang w:val="en-US" w:eastAsia="zh-CN"/>
        </w:rPr>
        <w:t>12</w:t>
      </w:r>
      <w:r>
        <w:rPr>
          <w:rFonts w:hint="eastAsia" w:ascii="仿宋_GB2312" w:hAnsi="仿宋_GB2312" w:eastAsia="仿宋_GB2312" w:cs="仿宋_GB2312"/>
          <w:b/>
          <w:sz w:val="32"/>
          <w:szCs w:val="32"/>
        </w:rPr>
        <w:t>次招标采购</w:t>
      </w:r>
      <w:r>
        <w:rPr>
          <w:rFonts w:hint="eastAsia" w:ascii="仿宋_GB2312" w:hAnsi="仿宋_GB2312" w:eastAsia="仿宋_GB2312" w:cs="仿宋_GB2312"/>
          <w:b/>
          <w:sz w:val="32"/>
          <w:szCs w:val="32"/>
          <w:lang w:val="en-US" w:eastAsia="zh-CN"/>
        </w:rPr>
        <w:t>项目(27-32标段及40标段)二次</w:t>
      </w:r>
      <w:r>
        <w:rPr>
          <w:rFonts w:hint="eastAsia" w:ascii="仿宋_GB2312" w:hAnsi="仿宋_GB2312" w:eastAsia="仿宋_GB2312" w:cs="仿宋_GB2312"/>
          <w:b/>
          <w:sz w:val="32"/>
          <w:szCs w:val="32"/>
        </w:rPr>
        <w:t>公开招标公告</w:t>
      </w:r>
    </w:p>
    <w:p>
      <w:pPr>
        <w:widowControl w:val="0"/>
        <w:spacing w:after="0" w:line="520" w:lineRule="exact"/>
        <w:jc w:val="center"/>
        <w:rPr>
          <w:rFonts w:hint="default" w:ascii="仿宋" w:hAnsi="仿宋" w:eastAsia="仿宋" w:cs="仿宋"/>
          <w:b/>
          <w:sz w:val="24"/>
          <w:lang w:val="en-US" w:eastAsia="zh-CN"/>
        </w:rPr>
      </w:pPr>
      <w:bookmarkStart w:id="0" w:name="_Toc495644242"/>
      <w:bookmarkStart w:id="1" w:name="_Toc1489"/>
      <w:r>
        <w:rPr>
          <w:rFonts w:hint="eastAsia" w:ascii="仿宋" w:hAnsi="仿宋" w:eastAsia="仿宋" w:cs="仿宋"/>
          <w:b/>
          <w:sz w:val="24"/>
        </w:rPr>
        <w:t>招标编号:BDGZ202</w:t>
      </w:r>
      <w:r>
        <w:rPr>
          <w:rFonts w:hint="eastAsia" w:ascii="仿宋" w:hAnsi="仿宋" w:eastAsia="仿宋" w:cs="仿宋"/>
          <w:b/>
          <w:sz w:val="24"/>
          <w:lang w:val="en-US" w:eastAsia="zh-CN"/>
        </w:rPr>
        <w:t>2-12(29标段)(A)</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1. 招标条件</w:t>
      </w:r>
      <w:bookmarkEnd w:id="0"/>
      <w:bookmarkEnd w:id="1"/>
      <w:r>
        <w:rPr>
          <w:rFonts w:hint="eastAsia" w:ascii="仿宋_GB2312" w:hAnsi="仿宋_GB2312" w:eastAsia="仿宋_GB2312" w:cs="仿宋_GB2312"/>
          <w:b/>
          <w:sz w:val="24"/>
          <w:szCs w:val="24"/>
        </w:rPr>
        <w:t xml:space="preserve"> </w:t>
      </w:r>
    </w:p>
    <w:p>
      <w:pPr>
        <w:spacing w:after="0" w:line="520" w:lineRule="exact"/>
        <w:ind w:left="-15" w:right="-198" w:rightChars="-90" w:firstLine="420"/>
        <w:rPr>
          <w:rFonts w:ascii="仿宋_GB2312" w:hAnsi="仿宋_GB2312" w:eastAsia="仿宋_GB2312" w:cs="仿宋_GB2312"/>
          <w:b/>
          <w:sz w:val="24"/>
          <w:szCs w:val="24"/>
          <w:u w:val="single"/>
        </w:rPr>
      </w:pPr>
      <w:r>
        <w:rPr>
          <w:rFonts w:hint="eastAsia" w:ascii="仿宋" w:hAnsi="仿宋" w:eastAsia="仿宋" w:cs="仿宋_GB2312"/>
          <w:sz w:val="24"/>
          <w:szCs w:val="24"/>
        </w:rPr>
        <w:t>本招标项目</w:t>
      </w:r>
      <w:r>
        <w:rPr>
          <w:rFonts w:hint="eastAsia" w:ascii="仿宋" w:hAnsi="仿宋" w:eastAsia="仿宋" w:cs="仿宋_GB2312"/>
          <w:sz w:val="24"/>
          <w:szCs w:val="24"/>
          <w:u w:val="single"/>
        </w:rPr>
        <w:t>内蒙古电力（集团）有限责任公司巴彦淖尔供电分公司2022年第</w:t>
      </w:r>
      <w:r>
        <w:rPr>
          <w:rFonts w:hint="eastAsia" w:ascii="仿宋" w:hAnsi="仿宋" w:eastAsia="仿宋" w:cs="仿宋_GB2312"/>
          <w:sz w:val="24"/>
          <w:szCs w:val="24"/>
          <w:u w:val="single"/>
          <w:lang w:val="en-US" w:eastAsia="zh-CN"/>
        </w:rPr>
        <w:t>12</w:t>
      </w:r>
      <w:r>
        <w:rPr>
          <w:rFonts w:hint="eastAsia" w:ascii="仿宋" w:hAnsi="仿宋" w:eastAsia="仿宋" w:cs="仿宋_GB2312"/>
          <w:sz w:val="24"/>
          <w:szCs w:val="24"/>
          <w:u w:val="single"/>
        </w:rPr>
        <w:t>次招标采购项目(27-32标段及40标段)</w:t>
      </w:r>
      <w:r>
        <w:rPr>
          <w:rFonts w:hint="eastAsia" w:ascii="仿宋_GB2312" w:hAnsi="仿宋_GB2312" w:eastAsia="仿宋_GB2312" w:cs="仿宋_GB2312"/>
          <w:sz w:val="24"/>
          <w:szCs w:val="24"/>
        </w:rPr>
        <w:t>招标人为</w:t>
      </w:r>
      <w:r>
        <w:rPr>
          <w:rFonts w:hint="eastAsia" w:ascii="仿宋_GB2312" w:hAnsi="仿宋_GB2312" w:eastAsia="仿宋_GB2312" w:cs="仿宋_GB2312"/>
          <w:sz w:val="24"/>
          <w:szCs w:val="24"/>
          <w:u w:val="single" w:color="000000"/>
        </w:rPr>
        <w:t>内蒙古电力（集团）有限责任公司巴彦淖尔</w:t>
      </w:r>
      <w:r>
        <w:rPr>
          <w:rFonts w:hint="eastAsia" w:ascii="仿宋_GB2312" w:hAnsi="仿宋_GB2312" w:eastAsia="仿宋_GB2312" w:cs="仿宋_GB2312"/>
          <w:sz w:val="24"/>
          <w:szCs w:val="24"/>
          <w:u w:val="single" w:color="000000"/>
          <w:lang w:val="en-US" w:eastAsia="zh-CN"/>
        </w:rPr>
        <w:t>供电分公司</w:t>
      </w:r>
      <w:r>
        <w:rPr>
          <w:rFonts w:hint="eastAsia" w:ascii="仿宋_GB2312" w:hAnsi="仿宋_GB2312" w:eastAsia="仿宋_GB2312" w:cs="仿宋_GB2312"/>
          <w:sz w:val="24"/>
          <w:szCs w:val="24"/>
        </w:rPr>
        <w:t>，招标项目资金来源为自有资金，出资比例100%。该项目已具备招标条件，现对该项目进行公开招标。</w:t>
      </w:r>
    </w:p>
    <w:p>
      <w:pPr>
        <w:pStyle w:val="3"/>
        <w:spacing w:after="0" w:line="520" w:lineRule="exact"/>
        <w:ind w:left="0" w:right="-198" w:rightChars="-90" w:firstLine="0"/>
        <w:rPr>
          <w:rFonts w:ascii="仿宋_GB2312" w:hAnsi="仿宋_GB2312" w:eastAsia="仿宋_GB2312" w:cs="仿宋_GB2312"/>
          <w:b/>
          <w:sz w:val="24"/>
          <w:szCs w:val="24"/>
        </w:rPr>
      </w:pPr>
      <w:bookmarkStart w:id="2" w:name="_Toc13446"/>
      <w:bookmarkStart w:id="3" w:name="_Toc495644243"/>
      <w:r>
        <w:rPr>
          <w:rFonts w:hint="eastAsia" w:ascii="仿宋_GB2312" w:hAnsi="仿宋_GB2312" w:eastAsia="仿宋_GB2312" w:cs="仿宋_GB2312"/>
          <w:b/>
          <w:sz w:val="24"/>
          <w:szCs w:val="24"/>
        </w:rPr>
        <w:t>2. 项目概况与招标范围</w:t>
      </w:r>
      <w:bookmarkEnd w:id="2"/>
      <w:bookmarkEnd w:id="3"/>
      <w:r>
        <w:rPr>
          <w:rFonts w:hint="eastAsia" w:ascii="仿宋_GB2312" w:hAnsi="仿宋_GB2312" w:eastAsia="仿宋_GB2312" w:cs="仿宋_GB2312"/>
          <w:b/>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2.1招标项目名称：内蒙古电力（集团）有限责任公司巴彦淖尔供电分公司2022年第</w:t>
      </w:r>
      <w:r>
        <w:rPr>
          <w:rFonts w:hint="eastAsia" w:ascii="仿宋_GB2312" w:hAnsi="仿宋_GB2312" w:eastAsia="仿宋_GB2312" w:cs="仿宋_GB2312"/>
          <w:color w:val="000000" w:themeColor="text1"/>
          <w:sz w:val="24"/>
          <w:szCs w:val="24"/>
          <w:lang w:val="en-US" w:eastAsia="zh-CN"/>
        </w:rPr>
        <w:t>12</w:t>
      </w:r>
      <w:r>
        <w:rPr>
          <w:rFonts w:hint="eastAsia" w:ascii="仿宋_GB2312" w:hAnsi="仿宋_GB2312" w:eastAsia="仿宋_GB2312" w:cs="仿宋_GB2312"/>
          <w:color w:val="000000" w:themeColor="text1"/>
          <w:sz w:val="24"/>
          <w:szCs w:val="24"/>
        </w:rPr>
        <w:t>次招标采购项目(27-32标段及40标段)</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2.2本次招标内容:</w:t>
      </w:r>
      <w:r>
        <w:rPr>
          <w:rFonts w:hint="eastAsia" w:ascii="仿宋" w:hAnsi="仿宋" w:eastAsia="仿宋" w:cs="仿宋_GB2312"/>
          <w:sz w:val="24"/>
          <w:szCs w:val="24"/>
        </w:rPr>
        <w:t>见附件</w:t>
      </w:r>
      <w:r>
        <w:rPr>
          <w:rFonts w:hint="eastAsia" w:ascii="仿宋" w:hAnsi="仿宋" w:eastAsia="仿宋" w:cs="宋体"/>
          <w:sz w:val="24"/>
          <w:szCs w:val="24"/>
        </w:rPr>
        <w:t>（具体内容详见招标公告附件）</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2.3</w:t>
      </w:r>
      <w:r>
        <w:rPr>
          <w:rFonts w:hint="eastAsia" w:ascii="仿宋_GB2312" w:hAnsi="仿宋_GB2312" w:eastAsia="仿宋_GB2312" w:cs="仿宋_GB2312"/>
          <w:color w:val="000000" w:themeColor="text1"/>
          <w:sz w:val="24"/>
          <w:szCs w:val="24"/>
          <w:lang w:val="en-US" w:eastAsia="zh-CN"/>
        </w:rPr>
        <w:t>标段划分：采购明细表</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2.4</w:t>
      </w:r>
      <w:r>
        <w:rPr>
          <w:rFonts w:hint="eastAsia" w:ascii="仿宋_GB2312" w:hAnsi="仿宋_GB2312" w:eastAsia="仿宋_GB2312" w:cs="仿宋_GB2312"/>
          <w:color w:val="000000" w:themeColor="text1"/>
          <w:sz w:val="24"/>
          <w:szCs w:val="24"/>
        </w:rPr>
        <w:t>资金来源：自有资金</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5框架服务期</w:t>
      </w:r>
      <w:r>
        <w:rPr>
          <w:rFonts w:hint="eastAsia" w:ascii="仿宋_GB2312" w:hAnsi="仿宋_GB2312" w:eastAsia="仿宋_GB2312" w:cs="仿宋_GB2312"/>
          <w:color w:val="000000" w:themeColor="text1"/>
          <w:sz w:val="24"/>
          <w:szCs w:val="24"/>
        </w:rPr>
        <w:t>：</w:t>
      </w:r>
      <w:r>
        <w:rPr>
          <w:rFonts w:hint="eastAsia" w:ascii="仿宋_GB2312" w:hAnsi="仿宋_GB2312" w:eastAsia="仿宋_GB2312" w:cs="仿宋_GB2312"/>
          <w:color w:val="000000" w:themeColor="text1"/>
          <w:sz w:val="24"/>
          <w:szCs w:val="24"/>
          <w:lang w:val="en-US" w:eastAsia="zh-CN"/>
        </w:rPr>
        <w:t>详见采购明细</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2.6</w:t>
      </w:r>
      <w:r>
        <w:rPr>
          <w:rFonts w:hint="eastAsia" w:ascii="仿宋_GB2312" w:hAnsi="仿宋_GB2312" w:eastAsia="仿宋_GB2312" w:cs="仿宋_GB2312"/>
          <w:color w:val="000000" w:themeColor="text1"/>
          <w:sz w:val="24"/>
          <w:szCs w:val="24"/>
          <w:lang w:val="en-US" w:eastAsia="zh-CN"/>
        </w:rPr>
        <w:t>服务</w:t>
      </w:r>
      <w:r>
        <w:rPr>
          <w:rFonts w:hint="eastAsia" w:ascii="仿宋_GB2312" w:hAnsi="仿宋_GB2312" w:eastAsia="仿宋_GB2312" w:cs="仿宋_GB2312"/>
          <w:color w:val="000000" w:themeColor="text1"/>
          <w:sz w:val="24"/>
          <w:szCs w:val="24"/>
        </w:rPr>
        <w:t>地点：</w:t>
      </w:r>
      <w:r>
        <w:rPr>
          <w:rFonts w:hint="eastAsia" w:ascii="仿宋_GB2312" w:hAnsi="仿宋_GB2312" w:eastAsia="仿宋_GB2312" w:cs="仿宋_GB2312"/>
          <w:color w:val="000000" w:themeColor="text1"/>
          <w:sz w:val="24"/>
          <w:szCs w:val="24"/>
          <w:lang w:val="en-US" w:eastAsia="zh-CN"/>
        </w:rPr>
        <w:t>甲方指定地点</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2.7框架入围数量及分配原则：详见采购明细</w:t>
      </w:r>
    </w:p>
    <w:p>
      <w:pPr>
        <w:pStyle w:val="3"/>
        <w:spacing w:after="0" w:line="520" w:lineRule="exact"/>
        <w:ind w:left="-5" w:right="-198" w:rightChars="-90"/>
        <w:rPr>
          <w:rFonts w:ascii="仿宋_GB2312" w:hAnsi="仿宋_GB2312" w:eastAsia="仿宋_GB2312" w:cs="仿宋_GB2312"/>
          <w:b/>
          <w:sz w:val="24"/>
          <w:szCs w:val="24"/>
        </w:rPr>
      </w:pPr>
      <w:bookmarkStart w:id="4" w:name="_Toc529"/>
      <w:bookmarkStart w:id="5" w:name="_Toc495644244"/>
      <w:r>
        <w:rPr>
          <w:rFonts w:hint="eastAsia" w:ascii="仿宋_GB2312" w:hAnsi="仿宋_GB2312" w:eastAsia="仿宋_GB2312" w:cs="仿宋_GB2312"/>
          <w:b/>
          <w:sz w:val="24"/>
          <w:szCs w:val="24"/>
        </w:rPr>
        <w:t>3. 投标人资格要求</w:t>
      </w:r>
      <w:bookmarkEnd w:id="4"/>
      <w:bookmarkEnd w:id="5"/>
      <w:r>
        <w:rPr>
          <w:rFonts w:hint="eastAsia" w:ascii="仿宋_GB2312" w:hAnsi="仿宋_GB2312" w:eastAsia="仿宋_GB2312" w:cs="仿宋_GB2312"/>
          <w:b/>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ascii="仿宋_GB2312" w:hAnsi="仿宋_GB2312" w:eastAsia="仿宋_GB2312" w:cs="仿宋_GB2312"/>
          <w:b/>
          <w:kern w:val="2"/>
          <w:szCs w:val="24"/>
        </w:rPr>
      </w:pPr>
      <w:r>
        <w:rPr>
          <w:rFonts w:hint="eastAsia" w:ascii="仿宋_GB2312" w:hAnsi="仿宋_GB2312" w:eastAsia="仿宋_GB2312" w:cs="仿宋_GB2312"/>
          <w:b/>
          <w:kern w:val="2"/>
          <w:szCs w:val="24"/>
        </w:rPr>
        <w:t>3.1通用资格要求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3.1.1须为中华人民共和国境内依法注册的企业法人或其他组织,具有有效的营业执照，有良好的财务状况和商业信用，具有一般纳税人资格。企业如有信息变更，需有工商局变更说明；</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3.1.2投标人未被“中国执行信息公开网（http://zxgk.court.gov.cn/shixin/）”列入失信被执行人名单中；</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3.1.3投标人</w:t>
      </w:r>
      <w:r>
        <w:rPr>
          <w:rFonts w:hint="eastAsia" w:ascii="仿宋" w:hAnsi="仿宋" w:eastAsia="仿宋" w:cs="仿宋_GB2312"/>
          <w:sz w:val="24"/>
          <w:szCs w:val="24"/>
          <w:lang w:val="en-US" w:eastAsia="zh-CN"/>
        </w:rPr>
        <w:t>及其法人</w:t>
      </w:r>
      <w:r>
        <w:rPr>
          <w:rFonts w:hint="eastAsia" w:ascii="仿宋" w:hAnsi="仿宋" w:eastAsia="仿宋" w:cs="仿宋_GB2312"/>
          <w:sz w:val="24"/>
          <w:szCs w:val="24"/>
        </w:rPr>
        <w:t>在中国裁判文书网（http://wenshu.court.gov.cn/）查询显示近一年没有行贿犯罪记录；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3.1.4投标人未被工商行政管理机关在全国企业信用信息公示系统（www.gsxt.gov.cn）中列入企业经营异常名录和严重违法失信企业名单；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3.1.6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3.1.7本次招标不接受联合体投标。</w:t>
      </w:r>
    </w:p>
    <w:p>
      <w:pPr>
        <w:pStyle w:val="8"/>
        <w:shd w:val="clear" w:color="auto" w:fill="FFFFFF"/>
        <w:spacing w:before="0" w:beforeAutospacing="0" w:after="0" w:afterAutospacing="0" w:line="520" w:lineRule="exact"/>
        <w:ind w:right="-198" w:rightChars="-90" w:firstLine="426" w:firstLineChars="177"/>
        <w:rPr>
          <w:rFonts w:ascii="仿宋_GB2312" w:hAnsi="仿宋_GB2312" w:eastAsia="仿宋_GB2312" w:cs="仿宋_GB2312"/>
          <w:b/>
          <w:kern w:val="2"/>
          <w:szCs w:val="24"/>
        </w:rPr>
      </w:pPr>
      <w:r>
        <w:rPr>
          <w:rFonts w:hint="eastAsia" w:ascii="仿宋_GB2312" w:hAnsi="仿宋_GB2312" w:eastAsia="仿宋_GB2312" w:cs="仿宋_GB2312"/>
          <w:b/>
          <w:kern w:val="2"/>
          <w:szCs w:val="24"/>
        </w:rPr>
        <w:t>3.2专用资格要求：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详见招标公告附件</w:t>
      </w:r>
    </w:p>
    <w:p>
      <w:pPr>
        <w:pStyle w:val="3"/>
        <w:spacing w:after="0" w:line="520" w:lineRule="exact"/>
        <w:ind w:left="-5" w:right="-198" w:rightChars="-9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4.招标文件的获取</w:t>
      </w:r>
    </w:p>
    <w:p>
      <w:pPr>
        <w:spacing w:line="520" w:lineRule="exact"/>
        <w:ind w:right="-57" w:rightChars="-26" w:firstLine="480" w:firstLineChars="200"/>
        <w:rPr>
          <w:rFonts w:ascii="仿宋_GB2312" w:hAnsi="仿宋_GB2312" w:eastAsia="仿宋_GB2312" w:cs="仿宋_GB2312"/>
          <w:sz w:val="24"/>
          <w:szCs w:val="24"/>
        </w:rPr>
      </w:pPr>
      <w:bookmarkStart w:id="6" w:name="_Toc495644245"/>
      <w:r>
        <w:rPr>
          <w:rFonts w:hint="eastAsia" w:ascii="仿宋" w:hAnsi="仿宋" w:eastAsia="仿宋" w:cs="仿宋"/>
          <w:sz w:val="24"/>
          <w:szCs w:val="24"/>
        </w:rPr>
        <w:t>凡第一次参与内蒙古电</w:t>
      </w:r>
      <w:r>
        <w:rPr>
          <w:rFonts w:hint="eastAsia" w:ascii="仿宋_GB2312" w:hAnsi="仿宋_GB2312" w:eastAsia="仿宋_GB2312" w:cs="仿宋_GB2312"/>
          <w:sz w:val="24"/>
          <w:szCs w:val="24"/>
        </w:rPr>
        <w:t>力公司的各类招标采购项目的</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，在投标报名前需要在内蒙古电力物资管理信息系统--“内蒙古电力（集团）有限责任公司电子商务平台（http://wzglb.impc.com.cn:82）”，先进行</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4.1本项目实行在线报名、线上下载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文件不收取费用。</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凡有意参加</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，请</w:t>
      </w:r>
      <w:r>
        <w:rPr>
          <w:rFonts w:hint="eastAsia" w:ascii="仿宋_GB2312" w:hAnsi="仿宋_GB2312" w:eastAsia="仿宋_GB2312" w:cs="仿宋_GB2312"/>
          <w:bCs/>
          <w:color w:val="auto"/>
          <w:sz w:val="24"/>
          <w:szCs w:val="24"/>
        </w:rPr>
        <w:t>于2022年12月9日至2022年12月15日17:00，进入《内蒙古电力集团电子采购系统》（http://guocai-impc.cppchina.cn/）在线报名 ，逾期不予受理。获取</w:t>
      </w:r>
      <w:r>
        <w:rPr>
          <w:rFonts w:hint="eastAsia" w:ascii="仿宋_GB2312" w:hAnsi="仿宋_GB2312" w:eastAsia="仿宋_GB2312" w:cs="仿宋_GB2312"/>
          <w:bCs/>
          <w:color w:val="auto"/>
          <w:sz w:val="24"/>
          <w:szCs w:val="24"/>
          <w:lang w:val="en-US" w:eastAsia="zh-CN"/>
        </w:rPr>
        <w:t>招标</w:t>
      </w:r>
      <w:r>
        <w:rPr>
          <w:rFonts w:hint="eastAsia" w:ascii="仿宋_GB2312" w:hAnsi="仿宋_GB2312" w:eastAsia="仿宋_GB2312" w:cs="仿宋_GB2312"/>
          <w:bCs/>
          <w:color w:val="auto"/>
          <w:sz w:val="24"/>
          <w:szCs w:val="24"/>
        </w:rPr>
        <w:t>文件截止时间同投标截止时间。</w:t>
      </w:r>
    </w:p>
    <w:p>
      <w:pPr>
        <w:spacing w:after="0" w:line="520" w:lineRule="exact"/>
        <w:ind w:right="-53" w:rightChars="-24" w:firstLine="424" w:firstLineChars="177"/>
        <w:rPr>
          <w:rFonts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1</w:t>
      </w:r>
      <w:r>
        <w:rPr>
          <w:rFonts w:hint="eastAsia" w:ascii="仿宋_GB2312" w:hAnsi="仿宋_GB2312" w:eastAsia="仿宋_GB2312" w:cs="仿宋_GB2312"/>
          <w:bCs/>
          <w:sz w:val="24"/>
          <w:szCs w:val="24"/>
        </w:rPr>
        <w:t>）具体流程为：登录平台</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在报名管理界面查看最新招标项目</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提交报名资料，通过资格查验的</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报名后通过</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文件下载</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界面下载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2</w:t>
      </w:r>
      <w:r>
        <w:rPr>
          <w:rFonts w:hint="eastAsia" w:ascii="仿宋_GB2312" w:hAnsi="仿宋_GB2312" w:eastAsia="仿宋_GB2312" w:cs="仿宋_GB2312"/>
          <w:bCs/>
          <w:sz w:val="24"/>
          <w:szCs w:val="24"/>
        </w:rPr>
        <w:t>）报名单位须凭【中招互连】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办理项目后续电子投标事宜，之前未进行注册【中招互连】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的企业需要下载【中招互连】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2、目前处于CA、扫码交替阶段，投标人需要注意以下事项：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投标人资格要求的潜在投标人，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被授权人必须为该项目负责人，并本人办理相关事宜，授权书中必须明确</w:t>
      </w:r>
      <w:r>
        <w:rPr>
          <w:rFonts w:hint="eastAsia" w:ascii="仿宋_GB2312" w:eastAsia="仿宋_GB2312"/>
          <w:color w:val="auto"/>
          <w:szCs w:val="24"/>
          <w:lang w:eastAsia="zh-CN"/>
        </w:rPr>
        <w:t>采购项目</w:t>
      </w:r>
      <w:r>
        <w:rPr>
          <w:rFonts w:hint="eastAsia" w:ascii="仿宋_GB2312" w:eastAsia="仿宋_GB2312"/>
          <w:color w:val="auto"/>
          <w:szCs w:val="24"/>
        </w:rPr>
        <w:t xml:space="preserve">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（4）</w:t>
      </w:r>
      <w:r>
        <w:rPr>
          <w:rFonts w:hint="eastAsia" w:ascii="仿宋" w:hAnsi="仿宋" w:eastAsia="仿宋" w:cs="仿宋_GB2312"/>
          <w:szCs w:val="24"/>
        </w:rPr>
        <w:t>提供一般纳税人资格登记表或税务局相关网站查询截图或开具的增值税发票</w:t>
      </w:r>
      <w:r>
        <w:rPr>
          <w:rFonts w:hint="eastAsia" w:ascii="仿宋_GB2312" w:eastAsia="仿宋_GB2312"/>
          <w:color w:val="auto"/>
          <w:szCs w:val="24"/>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fldChar w:fldCharType="begin"/>
      </w:r>
      <w:r>
        <w:instrText xml:space="preserve"> HYPERLINK "http://www.gsxt.gov.cn）" </w:instrText>
      </w:r>
      <w:r>
        <w:fldChar w:fldCharType="separate"/>
      </w:r>
      <w:r>
        <w:rPr>
          <w:rFonts w:hint="eastAsia" w:ascii="仿宋_GB2312" w:eastAsia="仿宋_GB2312"/>
          <w:color w:val="auto"/>
          <w:szCs w:val="24"/>
        </w:rPr>
        <w:t>www.gsxt.gov.cn）”中未被列入经营异</w:t>
      </w:r>
      <w:r>
        <w:rPr>
          <w:rFonts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（7）“中国裁判文书网（http://www.wenshu.court.gov.cn）”查询显示近一年内</w:t>
      </w:r>
      <w:r>
        <w:rPr>
          <w:rFonts w:hint="eastAsia" w:ascii="仿宋_GB2312" w:eastAsia="仿宋_GB2312"/>
          <w:color w:val="auto"/>
          <w:szCs w:val="24"/>
          <w:lang w:val="en-US" w:eastAsia="zh-CN"/>
        </w:rPr>
        <w:t>投标人</w:t>
      </w:r>
      <w:r>
        <w:rPr>
          <w:rFonts w:hint="eastAsia" w:ascii="仿宋_GB2312" w:eastAsia="仿宋_GB2312"/>
          <w:color w:val="auto"/>
          <w:szCs w:val="24"/>
        </w:rPr>
        <w:t xml:space="preserve">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（8）</w:t>
      </w:r>
      <w:r>
        <w:rPr>
          <w:rFonts w:hint="eastAsia" w:ascii="仿宋_GB2312" w:eastAsia="仿宋_GB2312"/>
          <w:color w:val="auto"/>
          <w:szCs w:val="24"/>
          <w:lang w:val="en-US" w:eastAsia="zh-CN"/>
        </w:rPr>
        <w:t>投标人</w:t>
      </w:r>
      <w:r>
        <w:rPr>
          <w:rFonts w:hint="eastAsia" w:ascii="仿宋_GB2312" w:eastAsia="仿宋_GB2312"/>
          <w:color w:val="auto"/>
          <w:szCs w:val="24"/>
        </w:rPr>
        <w:t>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w:t>
      </w:r>
      <w:r>
        <w:rPr>
          <w:rFonts w:hint="eastAsia" w:ascii="仿宋_GB2312" w:eastAsia="仿宋_GB2312"/>
          <w:color w:val="auto"/>
          <w:szCs w:val="24"/>
          <w:lang w:val="en-US" w:eastAsia="zh-CN"/>
        </w:rPr>
        <w:t>投标人</w:t>
      </w:r>
      <w:r>
        <w:rPr>
          <w:rFonts w:hint="eastAsia" w:ascii="仿宋_GB2312" w:eastAsia="仿宋_GB2312"/>
          <w:color w:val="auto"/>
          <w:szCs w:val="24"/>
        </w:rPr>
        <w:t>“专用资格要求”的相应证明材料;</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11</w:t>
      </w:r>
      <w:r>
        <w:rPr>
          <w:rFonts w:hint="eastAsia" w:ascii="仿宋_GB2312" w:eastAsia="仿宋_GB2312"/>
          <w:color w:val="auto"/>
          <w:szCs w:val="24"/>
          <w:lang w:eastAsia="zh-CN"/>
        </w:rPr>
        <w:t>）</w:t>
      </w:r>
      <w:r>
        <w:rPr>
          <w:rFonts w:hint="eastAsia" w:ascii="仿宋_GB2312" w:eastAsia="仿宋_GB2312"/>
          <w:color w:val="auto"/>
          <w:szCs w:val="24"/>
          <w:lang w:val="en-US" w:eastAsia="zh-CN"/>
        </w:rPr>
        <w:t>提供“重法纪、讲诚信”承诺函，详见附件3；</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12</w:t>
      </w:r>
      <w:r>
        <w:rPr>
          <w:rFonts w:hint="eastAsia" w:ascii="仿宋_GB2312" w:eastAsia="仿宋_GB2312"/>
          <w:color w:val="auto"/>
          <w:szCs w:val="24"/>
          <w:lang w:eastAsia="zh-CN"/>
        </w:rPr>
        <w:t>）</w:t>
      </w:r>
      <w:r>
        <w:rPr>
          <w:rFonts w:hint="eastAsia" w:ascii="仿宋_GB2312" w:eastAsia="仿宋_GB2312"/>
          <w:color w:val="auto"/>
          <w:szCs w:val="24"/>
        </w:rPr>
        <w:t>提供《投标真实性承诺书》，详见附件4</w:t>
      </w:r>
      <w:r>
        <w:rPr>
          <w:rFonts w:hint="eastAsia" w:ascii="仿宋_GB2312" w:eastAsia="仿宋_GB2312"/>
          <w:color w:val="auto"/>
          <w:szCs w:val="24"/>
          <w:lang w:val="en-US" w:eastAsia="zh-CN"/>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说明:报名资料如无法查真，由投标人提供有效查询路径。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在投标报名阶段，对投标人资质、业绩等投标资格进行严格的真实性核查;经核实存在资格证明材料造假或信息不实的，招标人将按照公司</w:t>
      </w:r>
      <w:r>
        <w:rPr>
          <w:rFonts w:hint="eastAsia" w:ascii="仿宋_GB2312" w:hAnsi="仿宋_GB2312" w:eastAsia="仿宋_GB2312" w:cs="仿宋_GB2312"/>
          <w:color w:val="auto"/>
          <w:szCs w:val="24"/>
          <w:lang w:eastAsia="zh-CN"/>
        </w:rPr>
        <w:t>《</w:t>
      </w:r>
      <w:r>
        <w:rPr>
          <w:rFonts w:hint="eastAsia" w:ascii="仿宋_GB2312" w:hAnsi="仿宋_GB2312" w:eastAsia="仿宋_GB2312" w:cs="仿宋_GB2312"/>
          <w:color w:val="auto"/>
          <w:szCs w:val="24"/>
        </w:rPr>
        <w:t>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r>
        <w:rPr>
          <w:rFonts w:hint="eastAsia" w:ascii="仿宋_GB2312" w:hAnsi="仿宋_GB2312" w:eastAsia="仿宋_GB2312" w:cs="仿宋_GB2312"/>
          <w:b/>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szCs w:val="24"/>
        </w:rPr>
      </w:pPr>
      <w:r>
        <w:rPr>
          <w:rFonts w:hint="eastAsia" w:ascii="仿宋_GB2312" w:hAnsi="仿宋_GB2312" w:eastAsia="仿宋_GB2312" w:cs="仿宋_GB2312"/>
          <w:b/>
          <w:szCs w:val="24"/>
        </w:rPr>
        <w:t>注：A、如发现存在虚假资料，招标人取消其投标/中标资格，由此造成的后果由投标/中标人自负，并承担相应的法律责任;</w:t>
      </w:r>
      <w:r>
        <w:rPr>
          <w:rFonts w:hint="eastAsia" w:ascii="仿宋_GB2312" w:eastAsia="仿宋_GB2312"/>
          <w:szCs w:val="24"/>
        </w:rPr>
        <w:t> </w:t>
      </w:r>
      <w:r>
        <w:rPr>
          <w:rFonts w:hint="eastAsia" w:ascii="仿宋_GB2312" w:hAnsi="仿宋_GB2312" w:eastAsia="仿宋_GB2312" w:cs="仿宋_GB2312"/>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投标人上传报名资料时，应充分考虑报名资料审核及修改的时间，如因投标人上传报名资料时间临近报名截止时间，造成因报名资料审核未通过，投标人不能及时上传更正报名资料，导致的报名不成功，后果由投标人自负；</w:t>
      </w:r>
      <w:r>
        <w:rPr>
          <w:rFonts w:ascii="仿宋_GB2312" w:hAnsi="仿宋_GB2312" w:eastAsia="仿宋_GB2312" w:cs="仿宋_GB2312"/>
          <w:b/>
          <w:color w:val="auto"/>
          <w:kern w:val="0"/>
          <w:sz w:val="24"/>
          <w:szCs w:val="24"/>
        </w:rPr>
        <w:t>为解决部分投标人恶性重复提交报名信息而导致的占用其他投标人资料审核时间的问题，原则上同一标段，投标人共有2次提交报名资料的机会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C、为提高报名工作效率，投多个标段的请投标人按标段分别对应上传相应报名资料，严禁上传与本标段无关资料，否则，招标人有权拒绝。</w:t>
      </w:r>
    </w:p>
    <w:p>
      <w:pPr>
        <w:pStyle w:val="3"/>
        <w:spacing w:after="0" w:line="520" w:lineRule="exact"/>
        <w:ind w:left="-5" w:right="-198" w:rightChars="-90"/>
        <w:rPr>
          <w:rFonts w:ascii="仿宋_GB2312" w:hAnsi="仿宋_GB2312" w:eastAsia="仿宋_GB2312" w:cs="仿宋_GB2312"/>
          <w:sz w:val="24"/>
          <w:szCs w:val="24"/>
        </w:rPr>
      </w:pPr>
      <w:bookmarkStart w:id="7" w:name="_Toc495645074"/>
      <w:bookmarkStart w:id="8" w:name="_Toc11424"/>
      <w:r>
        <w:rPr>
          <w:rFonts w:hint="eastAsia" w:ascii="仿宋_GB2312" w:hAnsi="仿宋_GB2312" w:eastAsia="仿宋_GB2312" w:cs="仿宋_GB2312"/>
          <w:b/>
          <w:sz w:val="24"/>
          <w:szCs w:val="24"/>
        </w:rPr>
        <w:t>5. 投标文件的递交</w:t>
      </w:r>
      <w:bookmarkEnd w:id="7"/>
      <w:bookmarkEnd w:id="8"/>
      <w:r>
        <w:rPr>
          <w:rFonts w:hint="eastAsia" w:ascii="仿宋_GB2312" w:hAnsi="仿宋_GB2312" w:eastAsia="仿宋_GB2312" w:cs="仿宋_GB2312"/>
          <w:b/>
          <w:sz w:val="24"/>
          <w:szCs w:val="24"/>
        </w:rPr>
        <w:t xml:space="preserve"> </w:t>
      </w:r>
    </w:p>
    <w:p>
      <w:pPr>
        <w:spacing w:after="0" w:line="520" w:lineRule="exact"/>
        <w:ind w:right="-198" w:rightChars="-90" w:firstLine="480" w:firstLineChars="200"/>
        <w:rPr>
          <w:rFonts w:ascii="仿宋_GB2312" w:hAnsi="仿宋_GB2312" w:eastAsia="仿宋_GB2312" w:cs="仿宋_GB2312"/>
          <w:sz w:val="24"/>
          <w:szCs w:val="24"/>
        </w:rPr>
      </w:pPr>
      <w:bookmarkStart w:id="9" w:name="_Toc21201"/>
      <w:r>
        <w:rPr>
          <w:rFonts w:hint="eastAsia" w:ascii="仿宋_GB2312" w:hAnsi="仿宋_GB2312" w:eastAsia="仿宋_GB2312" w:cs="仿宋_GB2312"/>
          <w:sz w:val="24"/>
          <w:szCs w:val="24"/>
        </w:rPr>
        <w:t>5.1本项目属于电子标，</w:t>
      </w:r>
      <w:r>
        <w:rPr>
          <w:rFonts w:hint="eastAsia" w:ascii="仿宋_GB2312" w:hAnsi="仿宋_GB2312" w:eastAsia="仿宋_GB2312" w:cs="仿宋_GB2312"/>
          <w:sz w:val="24"/>
          <w:szCs w:val="24"/>
          <w:lang w:val="en-US" w:eastAsia="zh-CN"/>
        </w:rPr>
        <w:t>投标</w:t>
      </w:r>
      <w:r>
        <w:rPr>
          <w:rFonts w:hint="eastAsia" w:ascii="仿宋_GB2312" w:hAnsi="仿宋_GB2312" w:eastAsia="仿宋_GB2312" w:cs="仿宋_GB2312"/>
          <w:sz w:val="24"/>
          <w:szCs w:val="24"/>
        </w:rPr>
        <w:t>文件采用网上递交方式，</w:t>
      </w:r>
      <w:r>
        <w:rPr>
          <w:rFonts w:ascii="仿宋_GB2312" w:hAnsi="仿宋_GB2312" w:eastAsia="仿宋_GB2312" w:cs="仿宋_GB2312"/>
          <w:sz w:val="24"/>
          <w:szCs w:val="24"/>
        </w:rPr>
        <w:t>电子</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文件请于投标截止时间之前上传到“内蒙古电力集团电子</w:t>
      </w:r>
      <w:r>
        <w:rPr>
          <w:rFonts w:hint="eastAsia" w:ascii="仿宋_GB2312" w:hAnsi="仿宋_GB2312" w:eastAsia="仿宋_GB2312" w:cs="仿宋_GB2312"/>
          <w:sz w:val="24"/>
          <w:szCs w:val="24"/>
        </w:rPr>
        <w:t>采购</w:t>
      </w:r>
      <w:r>
        <w:rPr>
          <w:rFonts w:ascii="仿宋_GB2312" w:hAnsi="仿宋_GB2312" w:eastAsia="仿宋_GB2312" w:cs="仿宋_GB2312"/>
          <w:sz w:val="24"/>
          <w:szCs w:val="24"/>
        </w:rPr>
        <w:t>系统”，投标截止时间后上传的</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文件恕不接收。</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5.2</w:t>
      </w:r>
      <w:r>
        <w:rPr>
          <w:rFonts w:hint="eastAsia" w:ascii="仿宋_GB2312" w:hAnsi="仿宋_GB2312" w:eastAsia="仿宋_GB2312" w:cs="仿宋_GB2312"/>
          <w:sz w:val="24"/>
          <w:szCs w:val="24"/>
          <w:lang w:val="en-US" w:eastAsia="zh-CN"/>
        </w:rPr>
        <w:t>投标人</w:t>
      </w:r>
      <w:r>
        <w:rPr>
          <w:rFonts w:ascii="仿宋_GB2312" w:hAnsi="仿宋_GB2312" w:eastAsia="仿宋_GB2312" w:cs="仿宋_GB2312"/>
          <w:sz w:val="24"/>
          <w:szCs w:val="24"/>
        </w:rPr>
        <w:t>对网上递交的</w:t>
      </w:r>
      <w:r>
        <w:rPr>
          <w:rFonts w:hint="eastAsia" w:ascii="仿宋_GB2312" w:hAnsi="仿宋_GB2312" w:eastAsia="仿宋_GB2312" w:cs="仿宋_GB2312"/>
          <w:sz w:val="24"/>
          <w:szCs w:val="24"/>
          <w:lang w:val="en-US" w:eastAsia="zh-CN"/>
        </w:rPr>
        <w:t>投标文件</w:t>
      </w:r>
      <w:r>
        <w:rPr>
          <w:rFonts w:ascii="仿宋_GB2312" w:hAnsi="仿宋_GB2312" w:eastAsia="仿宋_GB2312" w:cs="仿宋_GB2312"/>
          <w:sz w:val="24"/>
          <w:szCs w:val="24"/>
        </w:rPr>
        <w:t>应加密。使用数字证书（CA）或登录【</w:t>
      </w:r>
      <w:r>
        <w:rPr>
          <w:rFonts w:hint="eastAsia" w:ascii="仿宋_GB2312" w:hAnsi="仿宋_GB2312" w:eastAsia="仿宋_GB2312" w:cs="仿宋_GB2312"/>
          <w:sz w:val="24"/>
          <w:szCs w:val="24"/>
        </w:rPr>
        <w:t>中招互连</w:t>
      </w:r>
      <w:r>
        <w:rPr>
          <w:rFonts w:ascii="仿宋_GB2312" w:hAnsi="仿宋_GB2312" w:eastAsia="仿宋_GB2312" w:cs="仿宋_GB2312"/>
          <w:sz w:val="24"/>
          <w:szCs w:val="24"/>
        </w:rPr>
        <w:t>】APP对</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w:t>
      </w:r>
      <w:r>
        <w:rPr>
          <w:rFonts w:ascii="仿宋_GB2312" w:hAnsi="仿宋_GB2312" w:eastAsia="仿宋_GB2312" w:cs="仿宋_GB2312"/>
          <w:sz w:val="24"/>
          <w:szCs w:val="24"/>
        </w:rPr>
        <w:t>进行加密功能（如果供应商使用A手机号码对</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文件进行了扫码加密，必须需要使用A手机号码进行扫码解密，才能读取或导入</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w:t>
      </w:r>
    </w:p>
    <w:p>
      <w:pPr>
        <w:pStyle w:val="3"/>
        <w:spacing w:after="0" w:line="520" w:lineRule="exact"/>
        <w:ind w:left="0" w:right="-198" w:rightChars="-90" w:firstLine="0"/>
        <w:rPr>
          <w:rFonts w:ascii="仿宋_GB2312" w:hAnsi="仿宋_GB2312" w:eastAsia="仿宋_GB2312" w:cs="仿宋_GB2312"/>
          <w:b/>
          <w:sz w:val="24"/>
          <w:szCs w:val="24"/>
        </w:rPr>
      </w:pPr>
      <w:r>
        <w:rPr>
          <w:rFonts w:hint="eastAsia" w:ascii="仿宋_GB2312" w:hAnsi="仿宋_GB2312" w:eastAsia="仿宋_GB2312" w:cs="仿宋_GB2312"/>
          <w:b/>
          <w:sz w:val="24"/>
          <w:szCs w:val="24"/>
        </w:rPr>
        <w:t>6.资格审查</w:t>
      </w:r>
      <w:bookmarkEnd w:id="9"/>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本次招标采取资格后审方式，开标后由评标委员会统一进行资格审查，详见招标文件。资格审查时，投标人提供的资料不全或不合格的，均不能通过资格后审，其投标文件将被否决。</w:t>
      </w:r>
    </w:p>
    <w:p>
      <w:pPr>
        <w:pStyle w:val="3"/>
        <w:spacing w:after="0" w:line="520" w:lineRule="exact"/>
        <w:ind w:left="-5" w:right="-198" w:rightChars="-90"/>
        <w:rPr>
          <w:rFonts w:ascii="仿宋_GB2312" w:hAnsi="仿宋_GB2312" w:eastAsia="仿宋_GB2312" w:cs="仿宋_GB2312"/>
          <w:b/>
          <w:sz w:val="24"/>
          <w:szCs w:val="24"/>
        </w:rPr>
      </w:pPr>
      <w:bookmarkStart w:id="10" w:name="_Toc4184"/>
      <w:r>
        <w:rPr>
          <w:rFonts w:hint="eastAsia" w:ascii="仿宋_GB2312" w:hAnsi="仿宋_GB2312" w:eastAsia="仿宋_GB2312" w:cs="仿宋_GB2312"/>
          <w:b/>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投标文件上传时间：202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9</w:t>
      </w:r>
      <w:r>
        <w:rPr>
          <w:rFonts w:hint="eastAsia" w:ascii="仿宋_GB2312" w:hAnsi="仿宋_GB2312" w:eastAsia="仿宋_GB2312" w:cs="仿宋_GB2312"/>
          <w:color w:val="auto"/>
          <w:sz w:val="24"/>
          <w:szCs w:val="24"/>
        </w:rPr>
        <w:t>日～202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标开标时间：202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标签到、解密时间：202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投标人</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lang w:val="en-US" w:eastAsia="zh-CN"/>
        </w:rPr>
        <w:t>投标</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w:t>
      </w:r>
      <w:r>
        <w:rPr>
          <w:rFonts w:hint="eastAsia" w:ascii="仿宋_GB2312" w:hAnsi="仿宋_GB2312" w:eastAsia="仿宋_GB2312" w:cs="仿宋_GB2312"/>
          <w:color w:val="auto"/>
          <w:sz w:val="24"/>
          <w:szCs w:val="24"/>
          <w:lang w:val="en-US" w:eastAsia="zh-CN"/>
        </w:rPr>
        <w:t>供应商</w:t>
      </w:r>
      <w:r>
        <w:rPr>
          <w:rFonts w:ascii="仿宋_GB2312" w:hAnsi="仿宋_GB2312" w:eastAsia="仿宋_GB2312" w:cs="仿宋_GB2312"/>
          <w:color w:val="auto"/>
          <w:sz w:val="24"/>
          <w:szCs w:val="24"/>
        </w:rPr>
        <w:t>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spacing w:after="0" w:line="520" w:lineRule="exact"/>
        <w:ind w:right="-198" w:rightChars="-90" w:firstLine="439" w:firstLineChars="183"/>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请</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按公告时间及时参与相关签到、解密及确认等工作，签到、解密及确认过程中有任何问题请及时联系技术支持解决（</w:t>
      </w:r>
      <w:r>
        <w:rPr>
          <w:rFonts w:hint="eastAsia" w:ascii="仿宋_GB2312" w:hAnsi="仿宋_GB2312" w:eastAsia="仿宋_GB2312" w:cs="仿宋_GB2312"/>
          <w:bCs/>
          <w:sz w:val="24"/>
          <w:szCs w:val="24"/>
        </w:rPr>
        <w:t>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r>
        <w:rPr>
          <w:rFonts w:hint="eastAsia" w:ascii="仿宋_GB2312" w:hAnsi="仿宋_GB2312" w:eastAsia="仿宋_GB2312" w:cs="仿宋_GB2312"/>
          <w:sz w:val="24"/>
          <w:szCs w:val="24"/>
          <w:highlight w:val="none"/>
        </w:rPr>
        <w:t>），因</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原因未在规定时间内解密、确认</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文件的，视为供应商撤销其</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详细地址：巴彦淖尔市临河区塞北街与吉祥路交叉口欧洲假日G1G2号写字楼四楼</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如果截标或开标时间及地点有改变，招标机构将提前通知，逾期提交的投标文件将不予受理。</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9.招标费用</w:t>
      </w:r>
      <w:bookmarkEnd w:id="12"/>
      <w:bookmarkStart w:id="15" w:name="_GoBack"/>
      <w:bookmarkEnd w:id="15"/>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13" w:name="_Toc495645075"/>
      <w:bookmarkStart w:id="14" w:name="_Toc13484"/>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平台使用费：本项目采用全流程电子招投标，每标段每家</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需上传</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文件前在线向电子交易平台缴纳电子投标服务费。</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按照中央施行降税减费的精神，贯彻国家关于优化营商环境的工作部署，结合近年应用情况，现将电子交易系统（国信、国采）投标服务费收费方案调整如下：</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收费标准   收费金额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 xml:space="preserve">项目 400元/包段/次 </w:t>
      </w:r>
    </w:p>
    <w:p>
      <w:pPr>
        <w:pageBreakBefore w:val="0"/>
        <w:kinsoku/>
        <w:wordWrap/>
        <w:overflowPunct/>
        <w:topLinePunct w:val="0"/>
        <w:bidi w:val="0"/>
        <w:snapToGrid/>
        <w:spacing w:after="0" w:line="520" w:lineRule="exact"/>
        <w:ind w:right="102"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采购项目 300元/包段/次</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 xml:space="preserve">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户   名：内蒙古网佳招标公共服务平台运营有限公司</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账    号：0602004109200022157</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 户 行：中国工商银行股份有限公司呼和浩特市军区支行</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开票联系电话：0471-3261228</w:t>
      </w:r>
    </w:p>
    <w:p>
      <w:pPr>
        <w:pageBreakBefore w:val="0"/>
        <w:kinsoku/>
        <w:wordWrap/>
        <w:overflowPunct/>
        <w:topLinePunct w:val="0"/>
        <w:bidi w:val="0"/>
        <w:snapToGrid/>
        <w:spacing w:after="0" w:line="520" w:lineRule="exact"/>
        <w:ind w:left="0" w:leftChars="0" w:right="-198" w:rightChars="-90" w:firstLine="660" w:firstLineChars="275"/>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邮箱地址：wjzbcw@126.com（中标单位汇款时请务必公对公转账并备注：代理机构名称及开标日期）</w:t>
      </w:r>
    </w:p>
    <w:p>
      <w:pPr>
        <w:pageBreakBefore w:val="0"/>
        <w:kinsoku/>
        <w:wordWrap/>
        <w:overflowPunct/>
        <w:topLinePunct w:val="0"/>
        <w:bidi w:val="0"/>
        <w:snapToGrid/>
        <w:spacing w:after="0" w:line="520" w:lineRule="exact"/>
        <w:ind w:right="-198" w:rightChars="-90" w:firstLine="600" w:firstLineChars="2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中标服务费：中标服务费由</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支付，</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须向</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代理机构按如下标准和规定交纳中标服务费。</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服务费金额：以</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价为基数，参照内蒙古自治区工程建设协会《关于印发内蒙古自治区工程建设采购代理服务收费指导意见(试行）的通知》（内工建协</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2016</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17号）文件规定的标准收费。详见</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文件附件1；</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（2）中标服务费支付方式：</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完成，发出</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通知书</w:t>
      </w:r>
      <w:r>
        <w:rPr>
          <w:rFonts w:hint="eastAsia" w:ascii="仿宋_GB2312" w:hAnsi="仿宋_GB2312" w:eastAsia="仿宋_GB2312" w:cs="仿宋_GB2312"/>
          <w:sz w:val="24"/>
          <w:szCs w:val="24"/>
          <w:highlight w:val="none"/>
          <w:lang w:val="en-US" w:eastAsia="zh-CN"/>
        </w:rPr>
        <w:t>（或入围通知书）</w:t>
      </w:r>
      <w:r>
        <w:rPr>
          <w:rFonts w:hint="eastAsia" w:ascii="仿宋_GB2312" w:hAnsi="仿宋_GB2312" w:eastAsia="仿宋_GB2312" w:cs="仿宋_GB2312"/>
          <w:sz w:val="24"/>
          <w:szCs w:val="24"/>
          <w:highlight w:val="none"/>
        </w:rPr>
        <w:t>前一次性支付。</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（3）中标服务费交纳形式：电汇、银行转账、现金均可。</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中标服务费汇款账户：</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开户行：建行包头青山支行</w:t>
      </w:r>
    </w:p>
    <w:p>
      <w:pPr>
        <w:spacing w:line="520" w:lineRule="exact"/>
        <w:ind w:right="103" w:firstLine="600" w:firstLineChars="249"/>
        <w:rPr>
          <w:rFonts w:ascii="仿宋" w:hAnsi="仿宋" w:eastAsia="仿宋" w:cs="仿宋_GB2312"/>
          <w:b/>
          <w:sz w:val="24"/>
          <w:szCs w:val="24"/>
        </w:rPr>
      </w:pPr>
      <w:r>
        <w:rPr>
          <w:rFonts w:hint="eastAsia" w:ascii="仿宋" w:hAnsi="仿宋" w:eastAsia="仿宋" w:cs="仿宋_GB2312"/>
          <w:b/>
          <w:sz w:val="24"/>
          <w:szCs w:val="24"/>
        </w:rPr>
        <w:t>帐  号：15001716677059666666</w:t>
      </w:r>
    </w:p>
    <w:p>
      <w:pPr>
        <w:spacing w:line="520" w:lineRule="exact"/>
        <w:ind w:right="103" w:firstLine="600" w:firstLineChars="249"/>
      </w:pPr>
      <w:r>
        <w:rPr>
          <w:rFonts w:hint="eastAsia" w:ascii="仿宋" w:hAnsi="仿宋" w:eastAsia="仿宋" w:cs="仿宋_GB2312"/>
          <w:b/>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sz w:val="24"/>
          <w:szCs w:val="24"/>
        </w:rPr>
        <w:t>本次招标公告同时在</w:t>
      </w:r>
      <w:r>
        <w:rPr>
          <w:rFonts w:hint="eastAsia" w:ascii="仿宋_GB2312" w:hAnsi="仿宋_GB2312" w:eastAsia="仿宋_GB2312" w:cs="仿宋_GB2312"/>
          <w:color w:val="auto"/>
          <w:sz w:val="24"/>
          <w:szCs w:val="24"/>
        </w:rPr>
        <w:t>中国招标投标公共服务平台（www.cebpubservice.com）、内蒙古招标投标公共服务平台（http://zbgg.nmgztb.com.cn）、内蒙古电力集团电子采购系统（http://guocai-impc.cppchina.cn）上发布</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sz w:val="24"/>
          <w:szCs w:val="24"/>
        </w:rPr>
        <w:t>其它媒介转发无效。</w:t>
      </w:r>
      <w:r>
        <w:rPr>
          <w:rFonts w:hint="eastAsia" w:ascii="仿宋_GB2312" w:hAnsi="仿宋_GB2312" w:eastAsia="仿宋_GB2312" w:cs="仿宋_GB2312"/>
          <w:color w:val="auto"/>
          <w:sz w:val="24"/>
          <w:szCs w:val="24"/>
        </w:rPr>
        <w:t xml:space="preserve">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招 标 人：内蒙古电力（集团）有限责任公司巴彦淖尔</w:t>
      </w:r>
      <w:r>
        <w:rPr>
          <w:rFonts w:hint="eastAsia" w:ascii="仿宋" w:hAnsi="仿宋" w:eastAsia="仿宋" w:cs="仿宋_GB2312"/>
          <w:kern w:val="0"/>
          <w:sz w:val="24"/>
          <w:lang w:val="en-US" w:eastAsia="zh-CN"/>
        </w:rPr>
        <w:t>供电分公司</w:t>
      </w:r>
    </w:p>
    <w:p>
      <w:pPr>
        <w:shd w:val="clear" w:color="auto" w:fill="FFFFFF"/>
        <w:spacing w:line="520" w:lineRule="exact"/>
        <w:ind w:firstLine="480" w:firstLineChars="200"/>
        <w:rPr>
          <w:rFonts w:hint="eastAsia" w:ascii="仿宋" w:hAnsi="仿宋" w:eastAsia="仿宋" w:cs="仿宋_GB2312"/>
          <w:kern w:val="0"/>
          <w:sz w:val="24"/>
          <w:lang w:eastAsia="zh-CN"/>
        </w:rPr>
      </w:pPr>
      <w:r>
        <w:rPr>
          <w:rFonts w:hint="eastAsia" w:ascii="仿宋" w:hAnsi="仿宋" w:eastAsia="仿宋" w:cs="仿宋_GB2312"/>
          <w:kern w:val="0"/>
          <w:sz w:val="24"/>
        </w:rPr>
        <w:t>联 系 人：</w:t>
      </w:r>
      <w:r>
        <w:rPr>
          <w:rFonts w:hint="eastAsia" w:ascii="仿宋" w:hAnsi="仿宋" w:eastAsia="仿宋" w:cs="仿宋_GB2312"/>
          <w:kern w:val="0"/>
          <w:sz w:val="24"/>
          <w:lang w:val="en-US" w:eastAsia="zh-CN"/>
        </w:rPr>
        <w:t>贾工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联系电话：0478-8202846</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业务监督物资管理部</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联系人：韩工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联系电话：0478-8201117</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招标代理机构：正源信通项目管理有限公司</w:t>
      </w:r>
      <w:r>
        <w:rPr>
          <w:rFonts w:hint="eastAsia" w:ascii="宋体" w:hAnsi="宋体" w:eastAsia="宋体" w:cs="宋体"/>
          <w:kern w:val="0"/>
          <w:sz w:val="24"/>
        </w:rPr>
        <w:t> </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本项目联系地址：内蒙古巴彦淖尔市临河区检察院小区2号楼二单元1403室</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联 系 人：石亚林、张炳霞</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电话：13304786909</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电子邮件：</w:t>
      </w:r>
      <w:r>
        <w:fldChar w:fldCharType="begin"/>
      </w:r>
      <w:r>
        <w:instrText xml:space="preserve"> HYPERLINK "mailto:nmgzyxt@126.com" </w:instrText>
      </w:r>
      <w:r>
        <w:fldChar w:fldCharType="separate"/>
      </w:r>
      <w:r>
        <w:rPr>
          <w:rFonts w:hint="eastAsia" w:ascii="仿宋" w:hAnsi="仿宋" w:eastAsia="仿宋" w:cs="仿宋_GB2312"/>
          <w:kern w:val="0"/>
          <w:sz w:val="24"/>
        </w:rPr>
        <w:t>nmgzyxt@126.com</w:t>
      </w:r>
      <w:r>
        <w:rPr>
          <w:rFonts w:hint="eastAsia" w:ascii="仿宋" w:hAnsi="仿宋" w:eastAsia="仿宋" w:cs="仿宋_GB2312"/>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E3MTlhMjQyNWYzZDk3NmYwZTBkYmFhMTJkM2JmNGIifQ=="/>
  </w:docVars>
  <w:rsids>
    <w:rsidRoot w:val="00E7602C"/>
    <w:rsid w:val="00012424"/>
    <w:rsid w:val="00026AAC"/>
    <w:rsid w:val="00036710"/>
    <w:rsid w:val="00037692"/>
    <w:rsid w:val="00043D01"/>
    <w:rsid w:val="00056DC4"/>
    <w:rsid w:val="00065B8A"/>
    <w:rsid w:val="00085D10"/>
    <w:rsid w:val="000B0D4D"/>
    <w:rsid w:val="000B72E2"/>
    <w:rsid w:val="000D5F11"/>
    <w:rsid w:val="001064A7"/>
    <w:rsid w:val="00114A19"/>
    <w:rsid w:val="00137757"/>
    <w:rsid w:val="001B3886"/>
    <w:rsid w:val="001D401C"/>
    <w:rsid w:val="0022596B"/>
    <w:rsid w:val="00237A7B"/>
    <w:rsid w:val="002413DE"/>
    <w:rsid w:val="00245802"/>
    <w:rsid w:val="00255DB2"/>
    <w:rsid w:val="00273D39"/>
    <w:rsid w:val="00287317"/>
    <w:rsid w:val="002878F0"/>
    <w:rsid w:val="002A7B58"/>
    <w:rsid w:val="002D0AB3"/>
    <w:rsid w:val="002D6D4B"/>
    <w:rsid w:val="0031486D"/>
    <w:rsid w:val="00331FFD"/>
    <w:rsid w:val="003565C4"/>
    <w:rsid w:val="003A011F"/>
    <w:rsid w:val="003A794B"/>
    <w:rsid w:val="003B03FB"/>
    <w:rsid w:val="003C2739"/>
    <w:rsid w:val="003C7E8B"/>
    <w:rsid w:val="003D1AAE"/>
    <w:rsid w:val="003E7E9F"/>
    <w:rsid w:val="00402687"/>
    <w:rsid w:val="00424396"/>
    <w:rsid w:val="00443541"/>
    <w:rsid w:val="00472CE3"/>
    <w:rsid w:val="0047338C"/>
    <w:rsid w:val="00477C14"/>
    <w:rsid w:val="004C4210"/>
    <w:rsid w:val="004C762C"/>
    <w:rsid w:val="004E001E"/>
    <w:rsid w:val="004E399B"/>
    <w:rsid w:val="00567D3E"/>
    <w:rsid w:val="00575FEF"/>
    <w:rsid w:val="005B4D4C"/>
    <w:rsid w:val="005E1ACA"/>
    <w:rsid w:val="00666A01"/>
    <w:rsid w:val="006E7B13"/>
    <w:rsid w:val="006F13DC"/>
    <w:rsid w:val="006F665F"/>
    <w:rsid w:val="00706214"/>
    <w:rsid w:val="007F3017"/>
    <w:rsid w:val="00815075"/>
    <w:rsid w:val="00815F9F"/>
    <w:rsid w:val="00863D95"/>
    <w:rsid w:val="00872C58"/>
    <w:rsid w:val="008D5ACC"/>
    <w:rsid w:val="008F7B61"/>
    <w:rsid w:val="0097120B"/>
    <w:rsid w:val="00995D3C"/>
    <w:rsid w:val="009B03E3"/>
    <w:rsid w:val="009E448F"/>
    <w:rsid w:val="00A145C3"/>
    <w:rsid w:val="00A31BD1"/>
    <w:rsid w:val="00A838E8"/>
    <w:rsid w:val="00AC3222"/>
    <w:rsid w:val="00AC5817"/>
    <w:rsid w:val="00B07C9D"/>
    <w:rsid w:val="00B17701"/>
    <w:rsid w:val="00BB1AC6"/>
    <w:rsid w:val="00BF2760"/>
    <w:rsid w:val="00C05FBB"/>
    <w:rsid w:val="00C41FD8"/>
    <w:rsid w:val="00C42EB4"/>
    <w:rsid w:val="00C4689E"/>
    <w:rsid w:val="00C565A2"/>
    <w:rsid w:val="00C63214"/>
    <w:rsid w:val="00C8259D"/>
    <w:rsid w:val="00C87C23"/>
    <w:rsid w:val="00C95AD9"/>
    <w:rsid w:val="00CA281D"/>
    <w:rsid w:val="00CB3EF0"/>
    <w:rsid w:val="00CB65A9"/>
    <w:rsid w:val="00CC4440"/>
    <w:rsid w:val="00D03E02"/>
    <w:rsid w:val="00D71059"/>
    <w:rsid w:val="00D94BE7"/>
    <w:rsid w:val="00D9631A"/>
    <w:rsid w:val="00DA42CE"/>
    <w:rsid w:val="00DB3E0C"/>
    <w:rsid w:val="00DF10F5"/>
    <w:rsid w:val="00E23493"/>
    <w:rsid w:val="00E35DC3"/>
    <w:rsid w:val="00E64781"/>
    <w:rsid w:val="00E7602C"/>
    <w:rsid w:val="00E82EB0"/>
    <w:rsid w:val="00EA2534"/>
    <w:rsid w:val="00EA74D2"/>
    <w:rsid w:val="00F11F5A"/>
    <w:rsid w:val="00F3233B"/>
    <w:rsid w:val="00F349DA"/>
    <w:rsid w:val="00F53E3E"/>
    <w:rsid w:val="00F75957"/>
    <w:rsid w:val="00F77D9B"/>
    <w:rsid w:val="00FF4568"/>
    <w:rsid w:val="02F11E8C"/>
    <w:rsid w:val="03AC78EC"/>
    <w:rsid w:val="05687CD1"/>
    <w:rsid w:val="0588243E"/>
    <w:rsid w:val="068D00EC"/>
    <w:rsid w:val="077F2F92"/>
    <w:rsid w:val="07DD5F85"/>
    <w:rsid w:val="07FC0BA5"/>
    <w:rsid w:val="080952C5"/>
    <w:rsid w:val="087370B9"/>
    <w:rsid w:val="09EB2C7F"/>
    <w:rsid w:val="0A6E5D8A"/>
    <w:rsid w:val="0A6F38B0"/>
    <w:rsid w:val="0B3472AA"/>
    <w:rsid w:val="0B446AEB"/>
    <w:rsid w:val="0B8B6B89"/>
    <w:rsid w:val="0E3C1B52"/>
    <w:rsid w:val="0EDB20DB"/>
    <w:rsid w:val="10E81FC2"/>
    <w:rsid w:val="112D142A"/>
    <w:rsid w:val="115A16F3"/>
    <w:rsid w:val="117D68B3"/>
    <w:rsid w:val="12D61330"/>
    <w:rsid w:val="130460A0"/>
    <w:rsid w:val="135E57D8"/>
    <w:rsid w:val="140908D1"/>
    <w:rsid w:val="14612734"/>
    <w:rsid w:val="152A6D51"/>
    <w:rsid w:val="163A4E5D"/>
    <w:rsid w:val="16446C3D"/>
    <w:rsid w:val="16845FCE"/>
    <w:rsid w:val="18C60BAD"/>
    <w:rsid w:val="19A34627"/>
    <w:rsid w:val="19C808E7"/>
    <w:rsid w:val="1A4F5F72"/>
    <w:rsid w:val="1B1D2083"/>
    <w:rsid w:val="1B605817"/>
    <w:rsid w:val="1B851185"/>
    <w:rsid w:val="1BDF0346"/>
    <w:rsid w:val="1C571C5E"/>
    <w:rsid w:val="1D790876"/>
    <w:rsid w:val="1DBB15DE"/>
    <w:rsid w:val="1E0D5029"/>
    <w:rsid w:val="1EB51D82"/>
    <w:rsid w:val="20102DED"/>
    <w:rsid w:val="220B3A67"/>
    <w:rsid w:val="226705B6"/>
    <w:rsid w:val="24527B90"/>
    <w:rsid w:val="247E3C49"/>
    <w:rsid w:val="24D10F97"/>
    <w:rsid w:val="25120D2E"/>
    <w:rsid w:val="25CC175F"/>
    <w:rsid w:val="29A46CB7"/>
    <w:rsid w:val="29B258CF"/>
    <w:rsid w:val="29C73B50"/>
    <w:rsid w:val="2A542902"/>
    <w:rsid w:val="2BB06E8F"/>
    <w:rsid w:val="2CE64E70"/>
    <w:rsid w:val="2D3227EF"/>
    <w:rsid w:val="2E026666"/>
    <w:rsid w:val="2E652751"/>
    <w:rsid w:val="2EF37F67"/>
    <w:rsid w:val="300A0FFE"/>
    <w:rsid w:val="30E7662C"/>
    <w:rsid w:val="31240DEB"/>
    <w:rsid w:val="315E1E05"/>
    <w:rsid w:val="31B41B0F"/>
    <w:rsid w:val="32717916"/>
    <w:rsid w:val="32B016DA"/>
    <w:rsid w:val="337A27F2"/>
    <w:rsid w:val="35365E32"/>
    <w:rsid w:val="35E54166"/>
    <w:rsid w:val="36161906"/>
    <w:rsid w:val="36323860"/>
    <w:rsid w:val="37FC4126"/>
    <w:rsid w:val="3A886145"/>
    <w:rsid w:val="3B4F27BE"/>
    <w:rsid w:val="3B76362C"/>
    <w:rsid w:val="3D0D2931"/>
    <w:rsid w:val="3D4C7C8E"/>
    <w:rsid w:val="3DF2080B"/>
    <w:rsid w:val="3E676AF4"/>
    <w:rsid w:val="40A1242A"/>
    <w:rsid w:val="40D56D65"/>
    <w:rsid w:val="41036525"/>
    <w:rsid w:val="41175B2C"/>
    <w:rsid w:val="41BD2C17"/>
    <w:rsid w:val="435B0941"/>
    <w:rsid w:val="44FE64D4"/>
    <w:rsid w:val="45760B3D"/>
    <w:rsid w:val="459A7202"/>
    <w:rsid w:val="45DA13AF"/>
    <w:rsid w:val="465D0485"/>
    <w:rsid w:val="470568EB"/>
    <w:rsid w:val="47763A42"/>
    <w:rsid w:val="484511D1"/>
    <w:rsid w:val="485A4D8F"/>
    <w:rsid w:val="487B2177"/>
    <w:rsid w:val="487B78EB"/>
    <w:rsid w:val="49A87C69"/>
    <w:rsid w:val="4B3D6543"/>
    <w:rsid w:val="4B475260"/>
    <w:rsid w:val="4B4E2A92"/>
    <w:rsid w:val="4B7F2C4C"/>
    <w:rsid w:val="4C3E68E8"/>
    <w:rsid w:val="4CCC79A6"/>
    <w:rsid w:val="4DFC4A28"/>
    <w:rsid w:val="4F0C0514"/>
    <w:rsid w:val="4FAB04B3"/>
    <w:rsid w:val="4FDC68BF"/>
    <w:rsid w:val="5009088D"/>
    <w:rsid w:val="52252107"/>
    <w:rsid w:val="528B1752"/>
    <w:rsid w:val="52EE6F55"/>
    <w:rsid w:val="54715E3C"/>
    <w:rsid w:val="547E6196"/>
    <w:rsid w:val="54C33771"/>
    <w:rsid w:val="555727F8"/>
    <w:rsid w:val="558B55B3"/>
    <w:rsid w:val="566E3FE9"/>
    <w:rsid w:val="582A414E"/>
    <w:rsid w:val="58A5704A"/>
    <w:rsid w:val="58F85DEC"/>
    <w:rsid w:val="5901024B"/>
    <w:rsid w:val="593E4146"/>
    <w:rsid w:val="59575208"/>
    <w:rsid w:val="5A461504"/>
    <w:rsid w:val="5B952CE4"/>
    <w:rsid w:val="5B9B7EA0"/>
    <w:rsid w:val="5BA8711F"/>
    <w:rsid w:val="5C1B746C"/>
    <w:rsid w:val="5E826883"/>
    <w:rsid w:val="5FF11F12"/>
    <w:rsid w:val="60A07495"/>
    <w:rsid w:val="61062192"/>
    <w:rsid w:val="61C66DD1"/>
    <w:rsid w:val="61ED30F8"/>
    <w:rsid w:val="64504D2E"/>
    <w:rsid w:val="64825C3F"/>
    <w:rsid w:val="64C72574"/>
    <w:rsid w:val="6515241B"/>
    <w:rsid w:val="65191460"/>
    <w:rsid w:val="65B640A4"/>
    <w:rsid w:val="66C20A98"/>
    <w:rsid w:val="67145900"/>
    <w:rsid w:val="67E23181"/>
    <w:rsid w:val="680A4377"/>
    <w:rsid w:val="69B21220"/>
    <w:rsid w:val="6A503CD9"/>
    <w:rsid w:val="6B1C4953"/>
    <w:rsid w:val="6D806684"/>
    <w:rsid w:val="6E501C9F"/>
    <w:rsid w:val="6E7A1325"/>
    <w:rsid w:val="6F695C3B"/>
    <w:rsid w:val="70AC7FE9"/>
    <w:rsid w:val="70BA00FF"/>
    <w:rsid w:val="71780990"/>
    <w:rsid w:val="7249798C"/>
    <w:rsid w:val="72E9328A"/>
    <w:rsid w:val="75210C59"/>
    <w:rsid w:val="76505A1C"/>
    <w:rsid w:val="76704E71"/>
    <w:rsid w:val="76825F01"/>
    <w:rsid w:val="76921519"/>
    <w:rsid w:val="779B7915"/>
    <w:rsid w:val="77F35CA4"/>
    <w:rsid w:val="7819395D"/>
    <w:rsid w:val="78932EB8"/>
    <w:rsid w:val="78CC247A"/>
    <w:rsid w:val="79015C35"/>
    <w:rsid w:val="79D0049C"/>
    <w:rsid w:val="7A1C5E4F"/>
    <w:rsid w:val="7B1C2533"/>
    <w:rsid w:val="7B374FE9"/>
    <w:rsid w:val="7CAD4FBB"/>
    <w:rsid w:val="7D6B4415"/>
    <w:rsid w:val="7F402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Char"/>
    <w:basedOn w:val="10"/>
    <w:link w:val="3"/>
    <w:qFormat/>
    <w:uiPriority w:val="0"/>
    <w:rPr>
      <w:rFonts w:ascii="黑体" w:hAnsi="黑体" w:eastAsia="黑体" w:cs="黑体"/>
      <w:color w:val="000000"/>
      <w:sz w:val="32"/>
    </w:rPr>
  </w:style>
  <w:style w:type="character" w:customStyle="1" w:styleId="13">
    <w:name w:val="页眉 Char"/>
    <w:basedOn w:val="10"/>
    <w:link w:val="7"/>
    <w:qFormat/>
    <w:uiPriority w:val="99"/>
    <w:rPr>
      <w:rFonts w:ascii="Calibri" w:hAnsi="Calibri" w:eastAsia="Calibri" w:cs="Calibri"/>
      <w:color w:val="000000"/>
      <w:sz w:val="18"/>
      <w:szCs w:val="18"/>
    </w:rPr>
  </w:style>
  <w:style w:type="character" w:customStyle="1" w:styleId="14">
    <w:name w:val="页脚 Char"/>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Char"/>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Char"/>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4241</Words>
  <Characters>4932</Characters>
  <Lines>43</Lines>
  <Paragraphs>12</Paragraphs>
  <TotalTime>0</TotalTime>
  <ScaleCrop>false</ScaleCrop>
  <LinksUpToDate>false</LinksUpToDate>
  <CharactersWithSpaces>5352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 木木 </cp:lastModifiedBy>
  <dcterms:modified xsi:type="dcterms:W3CDTF">2022-12-09T07:17:32Z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